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BFC19" w14:textId="77777777" w:rsidR="0096798B" w:rsidRDefault="006F5363">
      <w:pPr>
        <w:spacing w:after="0" w:line="259" w:lineRule="auto"/>
        <w:ind w:left="0" w:right="9" w:firstLine="0"/>
        <w:jc w:val="center"/>
      </w:pPr>
      <w:r>
        <w:rPr>
          <w:b/>
          <w:color w:val="00B050"/>
          <w:sz w:val="24"/>
          <w:u w:val="single" w:color="00B050"/>
        </w:rPr>
        <w:t>Motoring offences (summary)</w:t>
      </w:r>
      <w:r>
        <w:rPr>
          <w:b/>
          <w:color w:val="00B050"/>
          <w:sz w:val="24"/>
        </w:rPr>
        <w:t xml:space="preserve"> </w:t>
      </w:r>
    </w:p>
    <w:p w14:paraId="22B31A5C" w14:textId="77777777" w:rsidR="0096798B" w:rsidRDefault="006F5363">
      <w:pPr>
        <w:spacing w:after="0" w:line="259" w:lineRule="auto"/>
        <w:ind w:left="1" w:firstLine="0"/>
        <w:jc w:val="left"/>
      </w:pPr>
      <w:r>
        <w:t xml:space="preserve"> </w:t>
      </w:r>
    </w:p>
    <w:p w14:paraId="4C06F5A4" w14:textId="783EED47" w:rsidR="0096798B" w:rsidRDefault="006F5363">
      <w:pPr>
        <w:ind w:right="724"/>
        <w:jc w:val="left"/>
      </w:pPr>
      <w:r>
        <w:t>All fees are exclusive of VAT</w:t>
      </w:r>
      <w:r w:rsidR="009E5270">
        <w:t xml:space="preserve">, with the total given in brackets inclusive of VAT at the current rate of 20%. </w:t>
      </w:r>
    </w:p>
    <w:p w14:paraId="420A7396" w14:textId="77777777" w:rsidR="0096798B" w:rsidRDefault="006F5363">
      <w:pPr>
        <w:spacing w:after="0" w:line="259" w:lineRule="auto"/>
        <w:ind w:left="1" w:firstLine="0"/>
        <w:jc w:val="left"/>
      </w:pPr>
      <w:r>
        <w:t xml:space="preserve"> </w:t>
      </w:r>
    </w:p>
    <w:p w14:paraId="2601279F" w14:textId="6D9E4768" w:rsidR="0096798B" w:rsidRDefault="006F5363">
      <w:pPr>
        <w:spacing w:after="6"/>
        <w:ind w:left="-6" w:hanging="8"/>
        <w:jc w:val="left"/>
      </w:pPr>
      <w:r>
        <w:rPr>
          <w:b/>
          <w:color w:val="00B050"/>
          <w:u w:val="single" w:color="00B050"/>
        </w:rPr>
        <w:t xml:space="preserve">Price </w:t>
      </w:r>
      <w:r w:rsidR="00A3121F">
        <w:rPr>
          <w:b/>
          <w:color w:val="00B050"/>
          <w:u w:val="single" w:color="00B050"/>
        </w:rPr>
        <w:t>estimates</w:t>
      </w:r>
      <w:r>
        <w:rPr>
          <w:b/>
          <w:color w:val="00B050"/>
        </w:rPr>
        <w:t xml:space="preserve"> </w:t>
      </w:r>
      <w:r w:rsidR="00C62FBF">
        <w:rPr>
          <w:b/>
          <w:color w:val="00B050"/>
        </w:rPr>
        <w:br/>
      </w:r>
    </w:p>
    <w:p w14:paraId="1559C858" w14:textId="5FA47E2D" w:rsidR="0096798B" w:rsidRDefault="006F5363" w:rsidP="00A3121F">
      <w:r>
        <w:t xml:space="preserve">The </w:t>
      </w:r>
      <w:r w:rsidR="00A3121F">
        <w:t>estimates</w:t>
      </w:r>
      <w:r>
        <w:t xml:space="preserve"> quoted below are a </w:t>
      </w:r>
      <w:r w:rsidR="00A3121F">
        <w:t xml:space="preserve">generalisation </w:t>
      </w:r>
      <w:r>
        <w:t xml:space="preserve">based on our experience. </w:t>
      </w:r>
      <w:r w:rsidR="00A3121F">
        <w:t>After</w:t>
      </w:r>
      <w:r>
        <w:t xml:space="preserve"> we have assessed your individual case, we will be able to provide a more accurate figure. </w:t>
      </w:r>
      <w:r w:rsidR="00A3121F">
        <w:t>Please note that Away Courts will be quoted separately</w:t>
      </w:r>
    </w:p>
    <w:p w14:paraId="306799AF" w14:textId="77777777" w:rsidR="0096798B" w:rsidRDefault="006F5363">
      <w:pPr>
        <w:spacing w:after="0" w:line="259" w:lineRule="auto"/>
        <w:ind w:left="1" w:firstLine="0"/>
        <w:jc w:val="left"/>
      </w:pPr>
      <w:r>
        <w:t xml:space="preserve"> </w:t>
      </w:r>
    </w:p>
    <w:p w14:paraId="117F8D84" w14:textId="77777777" w:rsidR="0096798B" w:rsidRDefault="006F5363">
      <w:pPr>
        <w:spacing w:after="2" w:line="259" w:lineRule="auto"/>
        <w:ind w:left="-4"/>
        <w:jc w:val="left"/>
      </w:pPr>
      <w:r>
        <w:rPr>
          <w:b/>
        </w:rPr>
        <w:t xml:space="preserve">Drink drive/Excess alcohol/Under the influence of drugs: </w:t>
      </w:r>
    </w:p>
    <w:p w14:paraId="6564CA9B" w14:textId="1B09BEEE" w:rsidR="0096798B" w:rsidRDefault="006F5363">
      <w:pPr>
        <w:numPr>
          <w:ilvl w:val="0"/>
          <w:numId w:val="1"/>
        </w:numPr>
        <w:ind w:hanging="360"/>
      </w:pPr>
      <w:r>
        <w:t>Drink drive, guilty plea with a single hearing (excluding travel) – fixed fee rate of £</w:t>
      </w:r>
      <w:r w:rsidR="00A3121F">
        <w:t>600</w:t>
      </w:r>
      <w:r>
        <w:t xml:space="preserve"> plus VAT</w:t>
      </w:r>
      <w:r w:rsidR="00BB20EF">
        <w:t xml:space="preserve"> (£720)</w:t>
      </w:r>
      <w:r w:rsidR="00A3121F">
        <w:t xml:space="preserve"> for a local court</w:t>
      </w:r>
      <w:r>
        <w:t xml:space="preserve">. </w:t>
      </w:r>
    </w:p>
    <w:p w14:paraId="66BD8B5A" w14:textId="2121BF18" w:rsidR="0096798B" w:rsidRDefault="006F5363">
      <w:pPr>
        <w:numPr>
          <w:ilvl w:val="0"/>
          <w:numId w:val="1"/>
        </w:numPr>
        <w:ind w:hanging="360"/>
      </w:pPr>
      <w:r>
        <w:t>Drink drive, guilty plea with two hearings – fixed fee rate of £</w:t>
      </w:r>
      <w:r w:rsidR="00A3121F">
        <w:t>900</w:t>
      </w:r>
      <w:r>
        <w:t xml:space="preserve"> plus VAT</w:t>
      </w:r>
      <w:r w:rsidR="00A3121F">
        <w:t xml:space="preserve"> </w:t>
      </w:r>
      <w:r w:rsidR="00BB20EF">
        <w:t>(£1</w:t>
      </w:r>
      <w:r w:rsidR="009E5270">
        <w:t>,</w:t>
      </w:r>
      <w:r w:rsidR="00BB20EF">
        <w:t xml:space="preserve">080) </w:t>
      </w:r>
      <w:r w:rsidR="00A3121F">
        <w:t>for a local cour</w:t>
      </w:r>
      <w:r w:rsidR="00BB20EF">
        <w:t>t</w:t>
      </w:r>
      <w:r>
        <w:t xml:space="preserve"> </w:t>
      </w:r>
    </w:p>
    <w:p w14:paraId="1097DCE1" w14:textId="7A02C101" w:rsidR="0096798B" w:rsidRDefault="006F5363">
      <w:pPr>
        <w:numPr>
          <w:ilvl w:val="0"/>
          <w:numId w:val="1"/>
        </w:numPr>
        <w:ind w:hanging="360"/>
      </w:pPr>
      <w:r>
        <w:t xml:space="preserve">Drink drive, not guilty plea, trial approx. 5-8 hours – charged at the hourly rate of the </w:t>
      </w:r>
      <w:r w:rsidR="00A3121F">
        <w:t>fee earner</w:t>
      </w:r>
      <w:r>
        <w:t xml:space="preserve"> (as stated on their page, see below) plus VAT. </w:t>
      </w:r>
    </w:p>
    <w:p w14:paraId="2D016DC5" w14:textId="3E99A8E4" w:rsidR="0096798B" w:rsidRDefault="0096798B" w:rsidP="00B21B97">
      <w:pPr>
        <w:spacing w:after="0" w:line="259" w:lineRule="auto"/>
        <w:ind w:left="0" w:firstLine="0"/>
        <w:jc w:val="left"/>
      </w:pPr>
    </w:p>
    <w:p w14:paraId="2ADCE3BA" w14:textId="77777777" w:rsidR="0096798B" w:rsidRDefault="006F5363">
      <w:pPr>
        <w:spacing w:after="2" w:line="259" w:lineRule="auto"/>
        <w:ind w:left="-4"/>
        <w:jc w:val="left"/>
      </w:pPr>
      <w:r>
        <w:rPr>
          <w:b/>
        </w:rPr>
        <w:t xml:space="preserve">Speeding offences: </w:t>
      </w:r>
    </w:p>
    <w:p w14:paraId="77192325" w14:textId="3B8873FE" w:rsidR="0096798B" w:rsidRDefault="006F5363">
      <w:pPr>
        <w:numPr>
          <w:ilvl w:val="0"/>
          <w:numId w:val="1"/>
        </w:numPr>
        <w:ind w:hanging="360"/>
      </w:pPr>
      <w:r>
        <w:t>Guilty plea, single hearing (excluding travel) – fixed fee rate of £500 plus VAT</w:t>
      </w:r>
      <w:r w:rsidR="009E5270">
        <w:t xml:space="preserve"> (£600)</w:t>
      </w:r>
      <w:r>
        <w:t xml:space="preserve">. </w:t>
      </w:r>
    </w:p>
    <w:p w14:paraId="1A6634B6" w14:textId="31E0175B" w:rsidR="0096798B" w:rsidRDefault="006F5363">
      <w:pPr>
        <w:numPr>
          <w:ilvl w:val="0"/>
          <w:numId w:val="1"/>
        </w:numPr>
        <w:ind w:hanging="360"/>
      </w:pPr>
      <w:r>
        <w:t xml:space="preserve">Guilty plea, </w:t>
      </w:r>
      <w:r w:rsidR="00A3121F">
        <w:t>Exceptional</w:t>
      </w:r>
      <w:r>
        <w:t xml:space="preserve"> Hardship argument against </w:t>
      </w:r>
      <w:r w:rsidR="00A3121F">
        <w:t>disqualification</w:t>
      </w:r>
      <w:r>
        <w:t xml:space="preserve"> or Tong </w:t>
      </w:r>
      <w:r w:rsidR="00A3121F">
        <w:t>disqualification</w:t>
      </w:r>
      <w:r>
        <w:t xml:space="preserve"> with a single hearing – fixed fee rate of £650 plus VAT </w:t>
      </w:r>
      <w:r w:rsidR="009E5270">
        <w:t>(£780)</w:t>
      </w:r>
    </w:p>
    <w:p w14:paraId="5E00DDBE" w14:textId="77777777" w:rsidR="0096798B" w:rsidRDefault="006F5363">
      <w:pPr>
        <w:numPr>
          <w:ilvl w:val="0"/>
          <w:numId w:val="1"/>
        </w:numPr>
        <w:ind w:hanging="360"/>
      </w:pPr>
      <w:r>
        <w:t xml:space="preserve">Trial (excluding travel and experts’ costs if required) approx. 4-8 hours – charged at the hourly rate of the fee-earner (as stated on their page, see below) plus VAT.  </w:t>
      </w:r>
    </w:p>
    <w:p w14:paraId="6247A1A1" w14:textId="77777777" w:rsidR="0096798B" w:rsidRDefault="006F5363">
      <w:pPr>
        <w:spacing w:after="0" w:line="259" w:lineRule="auto"/>
        <w:ind w:left="1" w:firstLine="0"/>
        <w:jc w:val="left"/>
      </w:pPr>
      <w:r>
        <w:t xml:space="preserve"> </w:t>
      </w:r>
    </w:p>
    <w:p w14:paraId="711094FF" w14:textId="77777777" w:rsidR="0096798B" w:rsidRDefault="006F5363">
      <w:pPr>
        <w:spacing w:after="2" w:line="259" w:lineRule="auto"/>
        <w:ind w:left="-4"/>
        <w:jc w:val="left"/>
      </w:pPr>
      <w:r>
        <w:rPr>
          <w:b/>
        </w:rPr>
        <w:t xml:space="preserve">Driving offences (Magistrates Court) General: </w:t>
      </w:r>
    </w:p>
    <w:p w14:paraId="711F5B75" w14:textId="240235D0" w:rsidR="00A3121F" w:rsidRDefault="006F5363" w:rsidP="00A3121F">
      <w:r>
        <w:t>Driving offences such as no insurance</w:t>
      </w:r>
      <w:r w:rsidR="00BB20EF">
        <w:t xml:space="preserve">, </w:t>
      </w:r>
      <w:r>
        <w:t>driving without due care</w:t>
      </w:r>
      <w:r w:rsidR="00BB20EF">
        <w:t xml:space="preserve">, </w:t>
      </w:r>
      <w:r>
        <w:t>dangerous driving</w:t>
      </w:r>
      <w:r w:rsidR="00BB20EF">
        <w:t xml:space="preserve">, or </w:t>
      </w:r>
      <w:r w:rsidR="00A3121F">
        <w:t xml:space="preserve">defective </w:t>
      </w:r>
      <w:r>
        <w:t xml:space="preserve">vehicle as well as </w:t>
      </w:r>
      <w:r w:rsidR="00A3121F">
        <w:t>Construction</w:t>
      </w:r>
      <w:r>
        <w:t xml:space="preserve"> and Use offences such as HGV/Licence offences</w:t>
      </w:r>
      <w:r w:rsidR="00BB20EF">
        <w:t xml:space="preserve">, </w:t>
      </w:r>
      <w:r>
        <w:t>fail to stop</w:t>
      </w:r>
      <w:r w:rsidR="00BB20EF">
        <w:t>,</w:t>
      </w:r>
      <w:r>
        <w:t xml:space="preserve"> and fail to report an accident. </w:t>
      </w:r>
      <w:r w:rsidR="00A3121F">
        <w:t>Please note that Away Courts will be quoted separately</w:t>
      </w:r>
    </w:p>
    <w:p w14:paraId="2430EFFA" w14:textId="5B04881F" w:rsidR="0096798B" w:rsidRDefault="0096798B"/>
    <w:p w14:paraId="04730EAF" w14:textId="10F2D8FD" w:rsidR="0096798B" w:rsidRDefault="006F5363">
      <w:pPr>
        <w:numPr>
          <w:ilvl w:val="0"/>
          <w:numId w:val="1"/>
        </w:numPr>
        <w:ind w:hanging="360"/>
      </w:pPr>
      <w:r>
        <w:t>Guilty plea with a single hearing (excluding travel) – fixed fee rate of £</w:t>
      </w:r>
      <w:r w:rsidR="00A3121F">
        <w:t>6</w:t>
      </w:r>
      <w:r>
        <w:t>00 plus VAT</w:t>
      </w:r>
      <w:r w:rsidR="00A3121F">
        <w:t xml:space="preserve"> </w:t>
      </w:r>
      <w:r w:rsidR="00BB20EF">
        <w:t>(</w:t>
      </w:r>
      <w:r w:rsidR="009E5270">
        <w:t>£720</w:t>
      </w:r>
      <w:r w:rsidR="00BB20EF">
        <w:t>)</w:t>
      </w:r>
      <w:r w:rsidR="009E5270">
        <w:t xml:space="preserve"> </w:t>
      </w:r>
      <w:r w:rsidR="00A3121F">
        <w:t>for a local court</w:t>
      </w:r>
      <w:r>
        <w:t xml:space="preserve">. </w:t>
      </w:r>
    </w:p>
    <w:p w14:paraId="4D070047" w14:textId="5DBCA378" w:rsidR="0096798B" w:rsidRDefault="006F5363">
      <w:pPr>
        <w:numPr>
          <w:ilvl w:val="0"/>
          <w:numId w:val="1"/>
        </w:numPr>
        <w:ind w:hanging="360"/>
      </w:pPr>
      <w:r>
        <w:t xml:space="preserve">Guilty plea with a second hearing or an </w:t>
      </w:r>
      <w:r w:rsidR="00A3121F">
        <w:t>Exceptional</w:t>
      </w:r>
      <w:r>
        <w:t xml:space="preserve"> Hardship/Special Reasons Hearing </w:t>
      </w:r>
      <w:r w:rsidR="00A3121F">
        <w:t>starting</w:t>
      </w:r>
      <w:r>
        <w:t xml:space="preserve"> at £</w:t>
      </w:r>
      <w:r w:rsidR="00A3121F">
        <w:t>900</w:t>
      </w:r>
      <w:r>
        <w:t xml:space="preserve"> plus VAT</w:t>
      </w:r>
      <w:r w:rsidR="009E5270">
        <w:t xml:space="preserve"> (£1,180)</w:t>
      </w:r>
      <w:r w:rsidR="00A3121F">
        <w:t xml:space="preserve">, </w:t>
      </w:r>
      <w:r>
        <w:t>depending on length/complexity</w:t>
      </w:r>
      <w:r w:rsidR="00A3121F">
        <w:t xml:space="preserve"> (for local courts)</w:t>
      </w:r>
    </w:p>
    <w:p w14:paraId="20A2802F" w14:textId="77777777" w:rsidR="0096798B" w:rsidRDefault="006F5363">
      <w:pPr>
        <w:numPr>
          <w:ilvl w:val="0"/>
          <w:numId w:val="1"/>
        </w:numPr>
        <w:ind w:hanging="360"/>
      </w:pPr>
      <w:r>
        <w:t xml:space="preserve">Trial (excluding travel and expert costs if required) approx. 5-10 hours – charged at the hourly rate of the fee-earner (as stated on their page, see below) plus VAT.  </w:t>
      </w:r>
    </w:p>
    <w:p w14:paraId="151C3D21" w14:textId="77777777" w:rsidR="0096798B" w:rsidRDefault="006F5363">
      <w:pPr>
        <w:spacing w:after="0" w:line="259" w:lineRule="auto"/>
        <w:ind w:left="1" w:firstLine="0"/>
        <w:jc w:val="left"/>
      </w:pPr>
      <w:r>
        <w:t xml:space="preserve"> </w:t>
      </w:r>
    </w:p>
    <w:p w14:paraId="7761DB59" w14:textId="77777777" w:rsidR="0096798B" w:rsidRDefault="006F5363">
      <w:pPr>
        <w:spacing w:after="2" w:line="259" w:lineRule="auto"/>
        <w:ind w:left="-4"/>
        <w:jc w:val="left"/>
      </w:pPr>
      <w:r>
        <w:rPr>
          <w:b/>
        </w:rPr>
        <w:t xml:space="preserve">Other unspecified motoring offences: </w:t>
      </w:r>
    </w:p>
    <w:p w14:paraId="0028E6AA" w14:textId="7ACAF2F3" w:rsidR="0096798B" w:rsidRDefault="006F5363">
      <w:pPr>
        <w:numPr>
          <w:ilvl w:val="0"/>
          <w:numId w:val="1"/>
        </w:numPr>
        <w:ind w:hanging="360"/>
      </w:pPr>
      <w:r>
        <w:t xml:space="preserve">Giving advice – </w:t>
      </w:r>
      <w:r w:rsidR="00A3121F">
        <w:t>assisting</w:t>
      </w:r>
      <w:r>
        <w:t xml:space="preserve"> in </w:t>
      </w:r>
      <w:r w:rsidR="00A3121F">
        <w:t>completing</w:t>
      </w:r>
      <w:r>
        <w:t xml:space="preserve"> Single </w:t>
      </w:r>
      <w:r w:rsidR="00A3121F">
        <w:t>Justice</w:t>
      </w:r>
      <w:r>
        <w:t xml:space="preserve"> Procedure Noces or NOIP or similar – fixed fee rate of £200 plus VAT</w:t>
      </w:r>
      <w:r w:rsidR="009E5270">
        <w:t xml:space="preserve"> (£240)</w:t>
      </w:r>
      <w:r>
        <w:t xml:space="preserve">. </w:t>
      </w:r>
    </w:p>
    <w:p w14:paraId="3C25A8A7" w14:textId="77777777" w:rsidR="0096798B" w:rsidRDefault="006F5363">
      <w:pPr>
        <w:numPr>
          <w:ilvl w:val="0"/>
          <w:numId w:val="1"/>
        </w:numPr>
        <w:ind w:hanging="360"/>
      </w:pPr>
      <w:r>
        <w:t xml:space="preserve">Giving general advice charged at the hourly rate of the fee-earner (as stated on their page, see below) plus VAT. </w:t>
      </w:r>
    </w:p>
    <w:p w14:paraId="0BC3DE8C" w14:textId="7DA6D174" w:rsidR="0096798B" w:rsidRDefault="006F5363">
      <w:pPr>
        <w:numPr>
          <w:ilvl w:val="0"/>
          <w:numId w:val="1"/>
        </w:numPr>
        <w:ind w:hanging="360"/>
      </w:pPr>
      <w:r>
        <w:t xml:space="preserve">Preparing a </w:t>
      </w:r>
      <w:r w:rsidR="00A3121F">
        <w:t>letter</w:t>
      </w:r>
      <w:r>
        <w:t xml:space="preserve"> of </w:t>
      </w:r>
      <w:r w:rsidR="00A3121F">
        <w:t>mitigation</w:t>
      </w:r>
      <w:r>
        <w:t xml:space="preserve"> – fixed fee rate of </w:t>
      </w:r>
      <w:r w:rsidR="00F930DB">
        <w:t>£3</w:t>
      </w:r>
      <w:r>
        <w:t>00 plus VAT</w:t>
      </w:r>
      <w:r w:rsidR="009E5270">
        <w:t xml:space="preserve"> (£360)</w:t>
      </w:r>
      <w:r>
        <w:t xml:space="preserve">. </w:t>
      </w:r>
    </w:p>
    <w:p w14:paraId="743D547B" w14:textId="77777777" w:rsidR="0096798B" w:rsidRDefault="006F5363">
      <w:pPr>
        <w:spacing w:after="0" w:line="259" w:lineRule="auto"/>
        <w:ind w:left="0" w:firstLine="0"/>
        <w:jc w:val="left"/>
      </w:pPr>
      <w:r>
        <w:t xml:space="preserve"> </w:t>
      </w:r>
    </w:p>
    <w:p w14:paraId="6FDEF8A7" w14:textId="15FE9370" w:rsidR="0096798B" w:rsidRDefault="006F5363">
      <w:pPr>
        <w:ind w:left="10"/>
      </w:pPr>
      <w:r>
        <w:t>Please note that in the case non-fixed fee cases, let</w:t>
      </w:r>
      <w:r w:rsidR="00A3121F">
        <w:t>t</w:t>
      </w:r>
      <w:r>
        <w:t xml:space="preserve">ers and telephone calls are charged at 10% of the fee earners hourly rate (as stated on their page, see below).  </w:t>
      </w:r>
    </w:p>
    <w:p w14:paraId="57F6162D" w14:textId="77777777" w:rsidR="0096798B" w:rsidRDefault="006F5363">
      <w:pPr>
        <w:spacing w:after="0" w:line="259" w:lineRule="auto"/>
        <w:ind w:left="0" w:firstLine="0"/>
        <w:jc w:val="left"/>
      </w:pPr>
      <w:r>
        <w:t xml:space="preserve"> </w:t>
      </w:r>
    </w:p>
    <w:p w14:paraId="16BDB1C3" w14:textId="0CB52E36" w:rsidR="0096798B" w:rsidRDefault="006F5363">
      <w:pPr>
        <w:ind w:left="10"/>
      </w:pPr>
      <w:r>
        <w:lastRenderedPageBreak/>
        <w:t xml:space="preserve">Please also note that each trial will require different levels of </w:t>
      </w:r>
      <w:r w:rsidR="00A3121F">
        <w:t>preparation</w:t>
      </w:r>
      <w:r>
        <w:t xml:space="preserve"> and hearing </w:t>
      </w:r>
      <w:r w:rsidR="00A3121F">
        <w:t>time</w:t>
      </w:r>
      <w:r>
        <w:t xml:space="preserve"> depending upon </w:t>
      </w:r>
      <w:r w:rsidR="00A3121F">
        <w:t>multiple</w:t>
      </w:r>
      <w:r>
        <w:t xml:space="preserve"> factors such as the number of witnesses and the use of expert evidence.  </w:t>
      </w:r>
    </w:p>
    <w:p w14:paraId="06595185" w14:textId="77777777" w:rsidR="0096798B" w:rsidRDefault="006F5363">
      <w:pPr>
        <w:spacing w:after="0" w:line="259" w:lineRule="auto"/>
        <w:ind w:left="0" w:firstLine="0"/>
        <w:jc w:val="left"/>
      </w:pPr>
      <w:r>
        <w:t xml:space="preserve"> </w:t>
      </w:r>
    </w:p>
    <w:p w14:paraId="2B992054" w14:textId="7B30B334" w:rsidR="0096798B" w:rsidRDefault="006F5363">
      <w:pPr>
        <w:spacing w:after="6"/>
        <w:ind w:left="-6" w:hanging="8"/>
        <w:jc w:val="left"/>
      </w:pPr>
      <w:r>
        <w:rPr>
          <w:b/>
          <w:color w:val="00B050"/>
          <w:u w:val="single" w:color="00B050"/>
        </w:rPr>
        <w:t>Fixed fees for guilty plea maters (one and two hearings) – assuming a decision has been made that</w:t>
      </w:r>
      <w:r>
        <w:rPr>
          <w:b/>
          <w:color w:val="00B050"/>
        </w:rPr>
        <w:t xml:space="preserve"> </w:t>
      </w:r>
      <w:r>
        <w:rPr>
          <w:b/>
          <w:color w:val="00B050"/>
          <w:u w:val="single" w:color="00B050"/>
        </w:rPr>
        <w:t>a guilty plea is appropriate</w:t>
      </w:r>
      <w:r w:rsidR="00F930DB">
        <w:rPr>
          <w:b/>
          <w:color w:val="00B050"/>
          <w:u w:val="single" w:color="00B050"/>
        </w:rPr>
        <w:t xml:space="preserve">. </w:t>
      </w:r>
      <w:r w:rsidR="00F930DB">
        <w:rPr>
          <w:b/>
          <w:color w:val="00B050"/>
          <w:u w:val="single" w:color="00B050"/>
        </w:rPr>
        <w:br/>
      </w:r>
      <w:r>
        <w:t xml:space="preserve">Fixed fees include these key stages: </w:t>
      </w:r>
    </w:p>
    <w:p w14:paraId="352509AB" w14:textId="77777777" w:rsidR="009E5270" w:rsidRDefault="00A3121F">
      <w:pPr>
        <w:numPr>
          <w:ilvl w:val="0"/>
          <w:numId w:val="1"/>
        </w:numPr>
        <w:ind w:hanging="360"/>
      </w:pPr>
      <w:r>
        <w:t xml:space="preserve">Meeting with the client either at one of our offices, by telephone or via e-mail (depending on the client’s situation and the complexity of the mater) </w:t>
      </w:r>
    </w:p>
    <w:p w14:paraId="2C79F528" w14:textId="7465315C" w:rsidR="0096798B" w:rsidRDefault="006F5363">
      <w:pPr>
        <w:numPr>
          <w:ilvl w:val="0"/>
          <w:numId w:val="1"/>
        </w:numPr>
        <w:ind w:hanging="360"/>
      </w:pPr>
      <w:r>
        <w:t xml:space="preserve">Taking </w:t>
      </w:r>
      <w:r w:rsidR="00A3121F">
        <w:t>instructions</w:t>
      </w:r>
      <w:r>
        <w:t xml:space="preserve"> </w:t>
      </w:r>
    </w:p>
    <w:p w14:paraId="5DBED3AD" w14:textId="430A0163" w:rsidR="0096798B" w:rsidRDefault="006F5363">
      <w:pPr>
        <w:numPr>
          <w:ilvl w:val="0"/>
          <w:numId w:val="1"/>
        </w:numPr>
        <w:ind w:hanging="360"/>
      </w:pPr>
      <w:r>
        <w:t xml:space="preserve">Obtaining </w:t>
      </w:r>
      <w:r w:rsidR="00A3121F">
        <w:t>prosecution</w:t>
      </w:r>
      <w:r>
        <w:t xml:space="preserve"> evidence </w:t>
      </w:r>
    </w:p>
    <w:p w14:paraId="7CCB6D02" w14:textId="6E477674" w:rsidR="0096798B" w:rsidRDefault="006F5363">
      <w:pPr>
        <w:numPr>
          <w:ilvl w:val="0"/>
          <w:numId w:val="1"/>
        </w:numPr>
        <w:ind w:hanging="360"/>
      </w:pPr>
      <w:r>
        <w:t xml:space="preserve">Where required liaising with the Court and </w:t>
      </w:r>
      <w:r w:rsidR="00A3121F">
        <w:t>Prosecution</w:t>
      </w:r>
      <w:r>
        <w:t xml:space="preserve"> </w:t>
      </w:r>
    </w:p>
    <w:p w14:paraId="2321EBC6" w14:textId="54F951E0" w:rsidR="0096798B" w:rsidRDefault="006F5363">
      <w:pPr>
        <w:numPr>
          <w:ilvl w:val="0"/>
          <w:numId w:val="1"/>
        </w:numPr>
        <w:ind w:hanging="360"/>
      </w:pPr>
      <w:r>
        <w:t xml:space="preserve">Advising on the evidence and procedure including Special Reasons and </w:t>
      </w:r>
      <w:r w:rsidR="00A3121F">
        <w:t>Exceptional</w:t>
      </w:r>
      <w:r>
        <w:t xml:space="preserve"> Hardship Submissions </w:t>
      </w:r>
    </w:p>
    <w:p w14:paraId="675EE31E" w14:textId="77777777" w:rsidR="0096798B" w:rsidRDefault="006F5363">
      <w:pPr>
        <w:numPr>
          <w:ilvl w:val="0"/>
          <w:numId w:val="1"/>
        </w:numPr>
        <w:ind w:hanging="360"/>
      </w:pPr>
      <w:r>
        <w:t xml:space="preserve">Advising on likely sentence or penalty </w:t>
      </w:r>
    </w:p>
    <w:p w14:paraId="128A8A27" w14:textId="77777777" w:rsidR="009E5270" w:rsidRDefault="00A3121F">
      <w:pPr>
        <w:numPr>
          <w:ilvl w:val="0"/>
          <w:numId w:val="1"/>
        </w:numPr>
        <w:ind w:hanging="360"/>
      </w:pPr>
      <w:r>
        <w:t xml:space="preserve">Attendance and representation at the Magistrates Court (once or twice).  </w:t>
      </w:r>
    </w:p>
    <w:p w14:paraId="3E3BEE15" w14:textId="7EBEFE04" w:rsidR="0096798B" w:rsidRDefault="006F5363">
      <w:pPr>
        <w:numPr>
          <w:ilvl w:val="0"/>
          <w:numId w:val="1"/>
        </w:numPr>
        <w:ind w:hanging="360"/>
      </w:pPr>
      <w:r>
        <w:t xml:space="preserve">Advising on any </w:t>
      </w:r>
      <w:r w:rsidR="00A3121F">
        <w:t>potential</w:t>
      </w:r>
      <w:r>
        <w:t xml:space="preserve"> appeal that may arise </w:t>
      </w:r>
    </w:p>
    <w:p w14:paraId="1C2982F5" w14:textId="77777777" w:rsidR="0096798B" w:rsidRDefault="006F5363">
      <w:pPr>
        <w:spacing w:after="0" w:line="259" w:lineRule="auto"/>
        <w:ind w:left="2" w:firstLine="0"/>
        <w:jc w:val="left"/>
      </w:pPr>
      <w:r>
        <w:t xml:space="preserve"> </w:t>
      </w:r>
    </w:p>
    <w:p w14:paraId="7F91B6FC" w14:textId="5041744B" w:rsidR="0096798B" w:rsidRDefault="006F5363">
      <w:pPr>
        <w:ind w:left="12"/>
      </w:pPr>
      <w:r>
        <w:t xml:space="preserve">Please note that should a case become more complicated or protracted </w:t>
      </w:r>
      <w:r w:rsidR="00F930DB">
        <w:t>after</w:t>
      </w:r>
      <w:r>
        <w:t xml:space="preserve"> we have been instructed, we have an </w:t>
      </w:r>
      <w:r w:rsidR="00F930DB">
        <w:t>obligation</w:t>
      </w:r>
      <w:r>
        <w:t xml:space="preserve"> to let you know of the impact on our fees before undertaking </w:t>
      </w:r>
      <w:r w:rsidR="00F930DB">
        <w:t>additional</w:t>
      </w:r>
      <w:r>
        <w:t xml:space="preserve"> work. </w:t>
      </w:r>
    </w:p>
    <w:p w14:paraId="1425D46A" w14:textId="77777777" w:rsidR="0096798B" w:rsidRDefault="006F5363">
      <w:pPr>
        <w:spacing w:after="0" w:line="259" w:lineRule="auto"/>
        <w:ind w:left="2" w:firstLine="0"/>
        <w:jc w:val="left"/>
      </w:pPr>
      <w:r>
        <w:t xml:space="preserve"> </w:t>
      </w:r>
    </w:p>
    <w:p w14:paraId="0A52AB85" w14:textId="77777777" w:rsidR="0096798B" w:rsidRDefault="006F5363">
      <w:pPr>
        <w:ind w:left="12"/>
      </w:pPr>
      <w:r>
        <w:t xml:space="preserve">Services not included in the above stages for fixed fees: </w:t>
      </w:r>
    </w:p>
    <w:p w14:paraId="208ACBF5" w14:textId="6A06FD34" w:rsidR="0096798B" w:rsidRDefault="00F930DB">
      <w:pPr>
        <w:numPr>
          <w:ilvl w:val="0"/>
          <w:numId w:val="1"/>
        </w:numPr>
        <w:ind w:hanging="360"/>
      </w:pPr>
      <w:r>
        <w:t xml:space="preserve">Instructing expert witnesses </w:t>
      </w:r>
    </w:p>
    <w:p w14:paraId="07BF4A27" w14:textId="77777777" w:rsidR="0096798B" w:rsidRDefault="006F5363">
      <w:pPr>
        <w:numPr>
          <w:ilvl w:val="0"/>
          <w:numId w:val="1"/>
        </w:numPr>
        <w:ind w:hanging="360"/>
      </w:pPr>
      <w:r>
        <w:t xml:space="preserve">Taking witness statements </w:t>
      </w:r>
    </w:p>
    <w:p w14:paraId="508C6CF8" w14:textId="11590C68" w:rsidR="0096798B" w:rsidRDefault="00F930DB">
      <w:pPr>
        <w:numPr>
          <w:ilvl w:val="0"/>
          <w:numId w:val="1"/>
        </w:numPr>
        <w:ind w:hanging="360"/>
      </w:pPr>
      <w:r>
        <w:t xml:space="preserve">Conducting any appeal proceedings arising from the original case </w:t>
      </w:r>
    </w:p>
    <w:p w14:paraId="363D45C7" w14:textId="77777777" w:rsidR="0096798B" w:rsidRDefault="006F5363">
      <w:pPr>
        <w:spacing w:after="0" w:line="259" w:lineRule="auto"/>
        <w:ind w:left="3" w:firstLine="0"/>
        <w:jc w:val="left"/>
      </w:pPr>
      <w:r>
        <w:t xml:space="preserve"> </w:t>
      </w:r>
    </w:p>
    <w:p w14:paraId="67AABB68" w14:textId="77777777" w:rsidR="0096798B" w:rsidRDefault="006F5363">
      <w:pPr>
        <w:spacing w:after="0" w:line="239" w:lineRule="auto"/>
        <w:ind w:left="1" w:firstLine="1"/>
        <w:jc w:val="left"/>
      </w:pPr>
      <w:r>
        <w:rPr>
          <w:b/>
          <w:u w:val="single" w:color="000000"/>
        </w:rPr>
        <w:t>Trials (not fixed fees) – Magistrates Court – assuming a not guilty plea has been instructed by the</w:t>
      </w:r>
      <w:r>
        <w:rPr>
          <w:b/>
        </w:rPr>
        <w:t xml:space="preserve"> </w:t>
      </w:r>
      <w:r>
        <w:rPr>
          <w:b/>
          <w:u w:val="single" w:color="000000"/>
        </w:rPr>
        <w:t>client:</w:t>
      </w:r>
      <w:r>
        <w:rPr>
          <w:b/>
        </w:rPr>
        <w:t xml:space="preserve"> </w:t>
      </w:r>
    </w:p>
    <w:p w14:paraId="1BE47600" w14:textId="0DBEB62D" w:rsidR="0096798B" w:rsidRDefault="006F5363">
      <w:r>
        <w:t xml:space="preserve">Work undertaken in the </w:t>
      </w:r>
      <w:r w:rsidR="00F930DB">
        <w:t>preparation</w:t>
      </w:r>
      <w:r>
        <w:t xml:space="preserve"> of a trial and key stages of a mater:  </w:t>
      </w:r>
    </w:p>
    <w:p w14:paraId="268FA316" w14:textId="1F43A55A" w:rsidR="0096798B" w:rsidRDefault="00F930DB">
      <w:pPr>
        <w:numPr>
          <w:ilvl w:val="0"/>
          <w:numId w:val="1"/>
        </w:numPr>
        <w:ind w:hanging="360"/>
      </w:pPr>
      <w:r>
        <w:t xml:space="preserve">Meeting with our client and take initial instructions. </w:t>
      </w:r>
    </w:p>
    <w:p w14:paraId="21F6B4CF" w14:textId="77777777" w:rsidR="00F930DB" w:rsidRPr="00F930DB" w:rsidRDefault="006F5363">
      <w:pPr>
        <w:numPr>
          <w:ilvl w:val="0"/>
          <w:numId w:val="1"/>
        </w:numPr>
        <w:ind w:hanging="360"/>
      </w:pPr>
      <w:r>
        <w:t xml:space="preserve">Obtain copies of the </w:t>
      </w:r>
      <w:r w:rsidR="00F930DB">
        <w:t>prosecution</w:t>
      </w:r>
      <w:r>
        <w:t xml:space="preserve"> evidence </w:t>
      </w:r>
    </w:p>
    <w:p w14:paraId="6F704899" w14:textId="34BFD0F4" w:rsidR="0096798B" w:rsidRDefault="006F5363">
      <w:pPr>
        <w:numPr>
          <w:ilvl w:val="0"/>
          <w:numId w:val="1"/>
        </w:numPr>
        <w:ind w:hanging="360"/>
      </w:pPr>
      <w:r>
        <w:t xml:space="preserve">Reading and considering the </w:t>
      </w:r>
      <w:r w:rsidR="00F930DB">
        <w:t>prosecution</w:t>
      </w:r>
      <w:r>
        <w:t xml:space="preserve"> case. </w:t>
      </w:r>
    </w:p>
    <w:p w14:paraId="419E0BF8" w14:textId="42FEE398" w:rsidR="0096798B" w:rsidRDefault="006F5363">
      <w:pPr>
        <w:numPr>
          <w:ilvl w:val="0"/>
          <w:numId w:val="1"/>
        </w:numPr>
        <w:ind w:hanging="360"/>
      </w:pPr>
      <w:r>
        <w:t xml:space="preserve">Advising on the strengths and weaknesses of the </w:t>
      </w:r>
      <w:r w:rsidR="00F930DB">
        <w:t>prosecution</w:t>
      </w:r>
      <w:r>
        <w:t xml:space="preserve"> case </w:t>
      </w:r>
    </w:p>
    <w:p w14:paraId="673E02A2" w14:textId="72C31064" w:rsidR="0096798B" w:rsidRDefault="00F930DB">
      <w:pPr>
        <w:numPr>
          <w:ilvl w:val="0"/>
          <w:numId w:val="1"/>
        </w:numPr>
        <w:ind w:hanging="360"/>
      </w:pPr>
      <w:r>
        <w:t xml:space="preserve">Attending the scene of an event if necessary </w:t>
      </w:r>
    </w:p>
    <w:p w14:paraId="50F7DD03" w14:textId="77777777" w:rsidR="0096798B" w:rsidRDefault="006F5363">
      <w:pPr>
        <w:numPr>
          <w:ilvl w:val="0"/>
          <w:numId w:val="1"/>
        </w:numPr>
        <w:ind w:hanging="360"/>
      </w:pPr>
      <w:r>
        <w:t xml:space="preserve">Advising on law and procedure </w:t>
      </w:r>
    </w:p>
    <w:p w14:paraId="4FE6A5F6" w14:textId="556E7E26" w:rsidR="0096798B" w:rsidRDefault="006F5363">
      <w:pPr>
        <w:numPr>
          <w:ilvl w:val="0"/>
          <w:numId w:val="1"/>
        </w:numPr>
        <w:ind w:hanging="360"/>
      </w:pPr>
      <w:r>
        <w:t xml:space="preserve">Taking further </w:t>
      </w:r>
      <w:r w:rsidR="00F930DB">
        <w:t>instructions</w:t>
      </w:r>
      <w:r>
        <w:t xml:space="preserve"> </w:t>
      </w:r>
    </w:p>
    <w:p w14:paraId="5E79C175" w14:textId="681E078B" w:rsidR="0096798B" w:rsidRDefault="006F5363">
      <w:pPr>
        <w:numPr>
          <w:ilvl w:val="0"/>
          <w:numId w:val="1"/>
        </w:numPr>
        <w:ind w:hanging="360"/>
      </w:pPr>
      <w:r>
        <w:t xml:space="preserve">Interviewing any </w:t>
      </w:r>
      <w:r w:rsidR="00F930DB">
        <w:t>potential</w:t>
      </w:r>
      <w:r>
        <w:t xml:space="preserve"> </w:t>
      </w:r>
      <w:r w:rsidR="00F930DB">
        <w:t>prosecution</w:t>
      </w:r>
      <w:r>
        <w:t xml:space="preserve"> witnesses </w:t>
      </w:r>
    </w:p>
    <w:p w14:paraId="7FFF7F57" w14:textId="4041B357" w:rsidR="0096798B" w:rsidRDefault="006F5363">
      <w:pPr>
        <w:numPr>
          <w:ilvl w:val="0"/>
          <w:numId w:val="1"/>
        </w:numPr>
        <w:ind w:hanging="360"/>
      </w:pPr>
      <w:r>
        <w:t>Instruct any Expert Witnesses that may be required (</w:t>
      </w:r>
      <w:r w:rsidR="00F930DB">
        <w:t>additional</w:t>
      </w:r>
      <w:r>
        <w:t xml:space="preserve"> costs may be charged by the Expert which the client will be liable for) </w:t>
      </w:r>
    </w:p>
    <w:p w14:paraId="07C524A5" w14:textId="5ACE19A1" w:rsidR="0096798B" w:rsidRDefault="006F5363">
      <w:pPr>
        <w:numPr>
          <w:ilvl w:val="0"/>
          <w:numId w:val="1"/>
        </w:numPr>
        <w:ind w:hanging="360"/>
      </w:pPr>
      <w:r>
        <w:t>Dra</w:t>
      </w:r>
      <w:r w:rsidR="00F930DB">
        <w:t>ft</w:t>
      </w:r>
      <w:r>
        <w:t xml:space="preserve"> and file all documents and legal submissions required to comply with </w:t>
      </w:r>
      <w:r w:rsidR="00F930DB">
        <w:t>regulations</w:t>
      </w:r>
      <w:r>
        <w:t xml:space="preserve">. </w:t>
      </w:r>
    </w:p>
    <w:p w14:paraId="311B811E" w14:textId="5E275833" w:rsidR="0096798B" w:rsidRDefault="006F5363">
      <w:pPr>
        <w:numPr>
          <w:ilvl w:val="0"/>
          <w:numId w:val="1"/>
        </w:numPr>
        <w:ind w:hanging="360"/>
      </w:pPr>
      <w:r>
        <w:t xml:space="preserve">Prepare for and represent the client at </w:t>
      </w:r>
      <w:r w:rsidR="00F930DB">
        <w:t>their</w:t>
      </w:r>
      <w:r>
        <w:t xml:space="preserve"> trial before the Magistrates Court (Including further </w:t>
      </w:r>
      <w:r w:rsidR="00F930DB">
        <w:t>meetings</w:t>
      </w:r>
      <w:r>
        <w:t xml:space="preserve"> with the client as required) </w:t>
      </w:r>
    </w:p>
    <w:p w14:paraId="07353810" w14:textId="2C3CDB9A" w:rsidR="0096798B" w:rsidRDefault="006F5363">
      <w:pPr>
        <w:numPr>
          <w:ilvl w:val="0"/>
          <w:numId w:val="1"/>
        </w:numPr>
        <w:ind w:hanging="360"/>
      </w:pPr>
      <w:r>
        <w:t xml:space="preserve">Liaising with the Court and </w:t>
      </w:r>
      <w:r w:rsidR="00F930DB">
        <w:t>Prosecution</w:t>
      </w:r>
      <w:r>
        <w:t xml:space="preserve"> as required </w:t>
      </w:r>
    </w:p>
    <w:p w14:paraId="1FB48153" w14:textId="0A57AFF2" w:rsidR="0096798B" w:rsidRDefault="00F930DB">
      <w:pPr>
        <w:numPr>
          <w:ilvl w:val="0"/>
          <w:numId w:val="1"/>
        </w:numPr>
        <w:ind w:hanging="360"/>
      </w:pPr>
      <w:r>
        <w:t xml:space="preserve">After the trial discuss the outcome and any potential appeal if appropriate </w:t>
      </w:r>
    </w:p>
    <w:p w14:paraId="6AD219E0" w14:textId="77777777" w:rsidR="0096798B" w:rsidRDefault="006F5363">
      <w:pPr>
        <w:spacing w:after="0" w:line="259" w:lineRule="auto"/>
        <w:ind w:left="3" w:firstLine="0"/>
        <w:jc w:val="left"/>
      </w:pPr>
      <w:r>
        <w:t xml:space="preserve"> </w:t>
      </w:r>
    </w:p>
    <w:p w14:paraId="1937A694" w14:textId="5D00F47A" w:rsidR="0096798B" w:rsidRDefault="006F5363">
      <w:pPr>
        <w:ind w:left="13"/>
      </w:pPr>
      <w:r>
        <w:t xml:space="preserve">Services not included in the above stages for trial </w:t>
      </w:r>
      <w:r w:rsidR="00F930DB">
        <w:t>preparation</w:t>
      </w:r>
      <w:r>
        <w:t xml:space="preserve">:  </w:t>
      </w:r>
    </w:p>
    <w:p w14:paraId="06FE4D84" w14:textId="2DF6727F" w:rsidR="0096798B" w:rsidRDefault="00F930DB">
      <w:pPr>
        <w:numPr>
          <w:ilvl w:val="0"/>
          <w:numId w:val="1"/>
        </w:numPr>
        <w:ind w:hanging="360"/>
      </w:pPr>
      <w:r>
        <w:t xml:space="preserve">Conducting an appeal would be subject to separate fee. </w:t>
      </w:r>
    </w:p>
    <w:p w14:paraId="64F07AF2" w14:textId="77777777" w:rsidR="0096798B" w:rsidRDefault="006F5363">
      <w:pPr>
        <w:spacing w:after="0" w:line="259" w:lineRule="auto"/>
        <w:ind w:left="3" w:firstLine="0"/>
        <w:jc w:val="left"/>
      </w:pPr>
      <w:r>
        <w:t xml:space="preserve"> </w:t>
      </w:r>
    </w:p>
    <w:p w14:paraId="2619787F" w14:textId="77777777" w:rsidR="00F930DB" w:rsidRDefault="00F930DB">
      <w:pPr>
        <w:spacing w:after="0" w:line="259" w:lineRule="auto"/>
        <w:ind w:left="3" w:firstLine="0"/>
        <w:jc w:val="left"/>
      </w:pPr>
    </w:p>
    <w:p w14:paraId="78A98661" w14:textId="3A3061D9" w:rsidR="0096798B" w:rsidRDefault="00F930DB">
      <w:pPr>
        <w:spacing w:after="6"/>
        <w:ind w:left="-6" w:right="6091" w:hanging="8"/>
        <w:jc w:val="left"/>
      </w:pPr>
      <w:r>
        <w:rPr>
          <w:b/>
          <w:color w:val="00B050"/>
          <w:u w:val="single" w:color="00B050"/>
        </w:rPr>
        <w:lastRenderedPageBreak/>
        <w:t>Potential additional costs</w:t>
      </w:r>
      <w:r>
        <w:rPr>
          <w:b/>
          <w:color w:val="00B050"/>
        </w:rPr>
        <w:t xml:space="preserve">  </w:t>
      </w:r>
      <w:r>
        <w:rPr>
          <w:b/>
          <w:color w:val="00B050"/>
        </w:rPr>
        <w:br/>
      </w:r>
      <w:r>
        <w:t xml:space="preserve">These could include: </w:t>
      </w:r>
    </w:p>
    <w:p w14:paraId="1A9529BB" w14:textId="6858073F" w:rsidR="0096798B" w:rsidRDefault="006F5363">
      <w:pPr>
        <w:numPr>
          <w:ilvl w:val="0"/>
          <w:numId w:val="1"/>
        </w:numPr>
        <w:ind w:hanging="360"/>
      </w:pPr>
      <w:r>
        <w:t>Interpreter</w:t>
      </w:r>
      <w:r w:rsidR="00BE6618">
        <w:t>’</w:t>
      </w:r>
      <w:r>
        <w:t>s fees at £</w:t>
      </w:r>
      <w:r w:rsidR="00F930DB">
        <w:t>9</w:t>
      </w:r>
      <w:r>
        <w:t>5 per hour plus VAT</w:t>
      </w:r>
      <w:r w:rsidR="009E5270">
        <w:t xml:space="preserve"> (£114)</w:t>
      </w:r>
      <w:r>
        <w:t xml:space="preserve">.  </w:t>
      </w:r>
    </w:p>
    <w:p w14:paraId="676EB363" w14:textId="63659703" w:rsidR="0096798B" w:rsidRDefault="00F930DB">
      <w:pPr>
        <w:numPr>
          <w:ilvl w:val="0"/>
          <w:numId w:val="1"/>
        </w:numPr>
        <w:ind w:hanging="360"/>
      </w:pPr>
      <w:r>
        <w:t>Translation of documents at £40 per hour plus VAT</w:t>
      </w:r>
      <w:r w:rsidR="009E5270">
        <w:t xml:space="preserve"> (£48)</w:t>
      </w:r>
      <w:r>
        <w:t xml:space="preserve">. </w:t>
      </w:r>
    </w:p>
    <w:p w14:paraId="1CE4CF9C" w14:textId="55592C31" w:rsidR="0096798B" w:rsidRDefault="006F5363">
      <w:pPr>
        <w:numPr>
          <w:ilvl w:val="0"/>
          <w:numId w:val="1"/>
        </w:numPr>
        <w:ind w:hanging="360"/>
      </w:pPr>
      <w:r>
        <w:t>Travel costs to be charged at £</w:t>
      </w:r>
      <w:r w:rsidR="00F930DB">
        <w:t>200</w:t>
      </w:r>
      <w:r>
        <w:t xml:space="preserve"> per hour plus VAT </w:t>
      </w:r>
      <w:r w:rsidR="009E5270">
        <w:t xml:space="preserve">(£240 pr hour) </w:t>
      </w:r>
      <w:r>
        <w:t xml:space="preserve">and £0.45 pence per mile or second-class public transport plus VAT. </w:t>
      </w:r>
    </w:p>
    <w:p w14:paraId="10FD43B4" w14:textId="1AA929B7" w:rsidR="0096798B" w:rsidRDefault="006F5363">
      <w:pPr>
        <w:numPr>
          <w:ilvl w:val="0"/>
          <w:numId w:val="1"/>
        </w:numPr>
        <w:ind w:hanging="360"/>
      </w:pPr>
      <w:r>
        <w:t xml:space="preserve">If the need to stay overnight arises, then hotel </w:t>
      </w:r>
      <w:r w:rsidR="00F930DB">
        <w:t>accommodation</w:t>
      </w:r>
      <w:r>
        <w:t xml:space="preserve"> may be chargeable (amounts subject to VAT), but we would try and avoid there where possible. </w:t>
      </w:r>
    </w:p>
    <w:p w14:paraId="2CEB70BE" w14:textId="78E71AF0" w:rsidR="0096798B" w:rsidRDefault="00F930DB" w:rsidP="00F930DB">
      <w:pPr>
        <w:numPr>
          <w:ilvl w:val="0"/>
          <w:numId w:val="1"/>
        </w:numPr>
        <w:ind w:hanging="360"/>
      </w:pPr>
      <w:r>
        <w:t>In some cases (i.e. in “failure to supply samples of breath for CMI Intoxilyzer”) it may be necessary to seek Medical and Psychiatric reports. These can range from £300 - £1,500 (in some circumstances VAT at 20% is chargeable in addition</w:t>
      </w:r>
      <w:r w:rsidR="009E5270">
        <w:t>, thus £360 - £1,650</w:t>
      </w:r>
      <w:r>
        <w:t xml:space="preserve">) </w:t>
      </w:r>
    </w:p>
    <w:p w14:paraId="5F50E603" w14:textId="77777777" w:rsidR="0096798B" w:rsidRDefault="006F5363">
      <w:pPr>
        <w:spacing w:after="0" w:line="259" w:lineRule="auto"/>
        <w:ind w:left="2" w:firstLine="0"/>
        <w:jc w:val="left"/>
      </w:pPr>
      <w:r>
        <w:t xml:space="preserve"> </w:t>
      </w:r>
    </w:p>
    <w:p w14:paraId="3D94FBBF" w14:textId="77777777" w:rsidR="0096798B" w:rsidRDefault="006F5363">
      <w:pPr>
        <w:spacing w:after="0" w:line="259" w:lineRule="auto"/>
        <w:ind w:left="2" w:firstLine="0"/>
        <w:jc w:val="left"/>
      </w:pPr>
      <w:r>
        <w:t xml:space="preserve"> </w:t>
      </w:r>
    </w:p>
    <w:p w14:paraId="178AB57E" w14:textId="77777777" w:rsidR="0096798B" w:rsidRDefault="006F5363">
      <w:pPr>
        <w:spacing w:after="6"/>
        <w:ind w:left="-6" w:hanging="8"/>
        <w:jc w:val="left"/>
      </w:pPr>
      <w:r>
        <w:rPr>
          <w:b/>
          <w:color w:val="00B050"/>
          <w:u w:val="single" w:color="00B050"/>
        </w:rPr>
        <w:t>How long will this take?</w:t>
      </w:r>
      <w:r>
        <w:rPr>
          <w:b/>
          <w:color w:val="00B050"/>
        </w:rPr>
        <w:t xml:space="preserve"> </w:t>
      </w:r>
    </w:p>
    <w:p w14:paraId="3F6153DA" w14:textId="77777777" w:rsidR="0096798B" w:rsidRDefault="006F5363">
      <w:pPr>
        <w:spacing w:after="0" w:line="259" w:lineRule="auto"/>
        <w:ind w:left="1" w:firstLine="0"/>
        <w:jc w:val="left"/>
      </w:pPr>
      <w:r>
        <w:rPr>
          <w:b/>
          <w:color w:val="00B050"/>
        </w:rPr>
        <w:t xml:space="preserve"> </w:t>
      </w:r>
    </w:p>
    <w:p w14:paraId="6A8E08C2" w14:textId="79104636" w:rsidR="00BE6618" w:rsidRDefault="002111AC" w:rsidP="002111AC">
      <w:pPr>
        <w:ind w:left="0" w:firstLine="0"/>
      </w:pPr>
      <w:r>
        <w:t xml:space="preserve">These days it can be very challenging to predict time scales. </w:t>
      </w:r>
      <w:r w:rsidR="00BE6618">
        <w:t>Cases can take anywhere between 3 months and 1 year, depending on court dates, police investigations and complexity. This is not a solid range, as matters can exceed this in some cases. For example, if a case goes to Crown Court rather than Magistrates Court, those cases almost always take longer than usual.</w:t>
      </w:r>
    </w:p>
    <w:p w14:paraId="33A4CC9C" w14:textId="77777777" w:rsidR="00BE6618" w:rsidRDefault="00BE6618" w:rsidP="002111AC">
      <w:pPr>
        <w:ind w:left="0" w:firstLine="0"/>
      </w:pPr>
    </w:p>
    <w:p w14:paraId="487A2DF2" w14:textId="17DEAE27" w:rsidR="00E561C1" w:rsidRDefault="00E561C1" w:rsidP="002111AC">
      <w:pPr>
        <w:ind w:left="0" w:firstLine="0"/>
      </w:pPr>
      <w:r>
        <w:t>Factors that can exacerbate timescales:</w:t>
      </w:r>
    </w:p>
    <w:p w14:paraId="2AA22827" w14:textId="41C05CD1" w:rsidR="00E561C1" w:rsidRDefault="00E5271C" w:rsidP="00E561C1">
      <w:pPr>
        <w:pStyle w:val="ListParagraph"/>
        <w:numPr>
          <w:ilvl w:val="0"/>
          <w:numId w:val="3"/>
        </w:numPr>
      </w:pPr>
      <w:r>
        <w:t>Waiting for Toxicology results</w:t>
      </w:r>
    </w:p>
    <w:p w14:paraId="0DFE2B6A" w14:textId="7E88233D" w:rsidR="00E5271C" w:rsidRDefault="00785CC4" w:rsidP="00E561C1">
      <w:pPr>
        <w:pStyle w:val="ListParagraph"/>
        <w:numPr>
          <w:ilvl w:val="0"/>
          <w:numId w:val="3"/>
        </w:numPr>
      </w:pPr>
      <w:r>
        <w:t>Cases progressing to Crown Court</w:t>
      </w:r>
    </w:p>
    <w:p w14:paraId="30CB6C78" w14:textId="16306466" w:rsidR="00785CC4" w:rsidRDefault="00785CC4" w:rsidP="00E561C1">
      <w:pPr>
        <w:pStyle w:val="ListParagraph"/>
        <w:numPr>
          <w:ilvl w:val="0"/>
          <w:numId w:val="3"/>
        </w:numPr>
      </w:pPr>
      <w:r>
        <w:t>Appeals</w:t>
      </w:r>
    </w:p>
    <w:p w14:paraId="5EB4157F" w14:textId="0AB9D266" w:rsidR="00785CC4" w:rsidRDefault="006C0A40" w:rsidP="00E561C1">
      <w:pPr>
        <w:pStyle w:val="ListParagraph"/>
        <w:numPr>
          <w:ilvl w:val="0"/>
          <w:numId w:val="3"/>
        </w:numPr>
      </w:pPr>
      <w:r>
        <w:t>Court listings and backlogs</w:t>
      </w:r>
    </w:p>
    <w:p w14:paraId="32E71FD6" w14:textId="662A4037" w:rsidR="00BC6BBD" w:rsidRDefault="00BC6BBD" w:rsidP="00E561C1">
      <w:pPr>
        <w:pStyle w:val="ListParagraph"/>
        <w:numPr>
          <w:ilvl w:val="0"/>
          <w:numId w:val="3"/>
        </w:numPr>
      </w:pPr>
      <w:r>
        <w:t>Special Reasons hearings</w:t>
      </w:r>
    </w:p>
    <w:p w14:paraId="735EC854" w14:textId="77777777" w:rsidR="00E561C1" w:rsidRDefault="00E561C1" w:rsidP="002111AC">
      <w:pPr>
        <w:ind w:left="0" w:firstLine="0"/>
      </w:pPr>
    </w:p>
    <w:p w14:paraId="019FAF9B" w14:textId="7AD3E46D" w:rsidR="00BE6618" w:rsidRDefault="00BE6618" w:rsidP="002111AC">
      <w:pPr>
        <w:ind w:left="0" w:firstLine="0"/>
      </w:pPr>
      <w:r>
        <w:t xml:space="preserve">The Police have 6 months from the offense to bring charges. </w:t>
      </w:r>
      <w:r w:rsidR="002111AC">
        <w:t xml:space="preserve">Recently, motoring offences which begin in the Single Justice Procedure frequently are only initiated a day or so before the 6-month time limit. The client must then respond to the Single Justice Procedure notice within the time </w:t>
      </w:r>
      <w:r>
        <w:t>stipulated but</w:t>
      </w:r>
      <w:r w:rsidR="002111AC">
        <w:t xml:space="preserve"> should seek advice if in any doubt as to how to respond. </w:t>
      </w:r>
      <w:r>
        <w:t xml:space="preserve">This means the police may take the full 6 months to investigate, with a further 6 months for case to potentially resolve. </w:t>
      </w:r>
    </w:p>
    <w:p w14:paraId="052DB0E6" w14:textId="77777777" w:rsidR="00BE6618" w:rsidRDefault="00BE6618" w:rsidP="002111AC">
      <w:pPr>
        <w:ind w:left="0" w:firstLine="0"/>
      </w:pPr>
    </w:p>
    <w:p w14:paraId="0C0D01E0" w14:textId="0342EC31" w:rsidR="002111AC" w:rsidRDefault="002111AC" w:rsidP="002111AC">
      <w:pPr>
        <w:ind w:left="0" w:firstLine="0"/>
      </w:pPr>
      <w:r>
        <w:t>The previous time scales, particularly in Wiltshire, have been stretched so any case hosted for trial or Special Reasons hearing</w:t>
      </w:r>
      <w:r w:rsidR="00BE6618">
        <w:t>s</w:t>
      </w:r>
      <w:r>
        <w:t xml:space="preserve"> can take many months.</w:t>
      </w:r>
    </w:p>
    <w:p w14:paraId="44DE55AE" w14:textId="3CA47258" w:rsidR="005919A1" w:rsidRDefault="005919A1" w:rsidP="005919A1">
      <w:pPr>
        <w:ind w:left="0" w:firstLine="0"/>
      </w:pPr>
    </w:p>
    <w:p w14:paraId="5F106F8D" w14:textId="456D456B" w:rsidR="0096798B" w:rsidRDefault="0096798B">
      <w:pPr>
        <w:spacing w:after="0" w:line="259" w:lineRule="auto"/>
        <w:ind w:left="1" w:firstLine="0"/>
        <w:jc w:val="left"/>
      </w:pPr>
    </w:p>
    <w:p w14:paraId="1494631F" w14:textId="77777777" w:rsidR="0096798B" w:rsidRDefault="006F5363">
      <w:pPr>
        <w:spacing w:after="6"/>
        <w:ind w:left="-6" w:hanging="8"/>
        <w:jc w:val="left"/>
      </w:pPr>
      <w:r>
        <w:rPr>
          <w:b/>
          <w:color w:val="00B050"/>
          <w:u w:val="single" w:color="00B050"/>
        </w:rPr>
        <w:t>Our team</w:t>
      </w:r>
      <w:r>
        <w:rPr>
          <w:b/>
          <w:color w:val="00B050"/>
        </w:rPr>
        <w:t xml:space="preserve">  </w:t>
      </w:r>
    </w:p>
    <w:p w14:paraId="1BAB4925" w14:textId="77777777" w:rsidR="0096798B" w:rsidRDefault="006F5363">
      <w:pPr>
        <w:spacing w:after="0" w:line="259" w:lineRule="auto"/>
        <w:ind w:left="1" w:firstLine="0"/>
        <w:jc w:val="left"/>
      </w:pPr>
      <w:r>
        <w:rPr>
          <w:b/>
          <w:color w:val="00B050"/>
        </w:rPr>
        <w:t xml:space="preserve"> </w:t>
      </w:r>
    </w:p>
    <w:p w14:paraId="1521E2B7" w14:textId="77777777" w:rsidR="0096798B" w:rsidRDefault="006F5363">
      <w:r>
        <w:t xml:space="preserve">The fee-earners who work in this department are:  </w:t>
      </w:r>
    </w:p>
    <w:p w14:paraId="50034AE4" w14:textId="77777777" w:rsidR="0096798B" w:rsidRDefault="006F5363">
      <w:pPr>
        <w:spacing w:line="259" w:lineRule="auto"/>
        <w:ind w:left="1" w:firstLine="0"/>
        <w:jc w:val="left"/>
      </w:pPr>
      <w:r>
        <w:t xml:space="preserve"> </w:t>
      </w:r>
    </w:p>
    <w:p w14:paraId="295CE073" w14:textId="33E6BA3A" w:rsidR="0096798B" w:rsidRDefault="0096798B">
      <w:pPr>
        <w:numPr>
          <w:ilvl w:val="0"/>
          <w:numId w:val="2"/>
        </w:numPr>
        <w:ind w:left="707" w:right="362" w:hanging="360"/>
        <w:jc w:val="left"/>
      </w:pPr>
      <w:hyperlink r:id="rId8">
        <w:r>
          <w:rPr>
            <w:b/>
            <w:color w:val="00B050"/>
            <w:u w:val="single" w:color="00B050"/>
          </w:rPr>
          <w:t>Richard Griffiths</w:t>
        </w:r>
      </w:hyperlink>
      <w:hyperlink r:id="rId9">
        <w:r>
          <w:rPr>
            <w:b/>
            <w:color w:val="00B050"/>
          </w:rPr>
          <w:t xml:space="preserve"> </w:t>
        </w:r>
      </w:hyperlink>
      <w:r w:rsidR="006F5363">
        <w:t xml:space="preserve">(Senior Partner / Solicitor with Higher Rights)  </w:t>
      </w:r>
    </w:p>
    <w:p w14:paraId="6B1B6A86" w14:textId="174CE5F6" w:rsidR="0096798B" w:rsidRDefault="0096798B">
      <w:pPr>
        <w:numPr>
          <w:ilvl w:val="0"/>
          <w:numId w:val="2"/>
        </w:numPr>
        <w:ind w:left="707" w:right="362" w:hanging="360"/>
        <w:jc w:val="left"/>
      </w:pPr>
      <w:hyperlink r:id="rId10">
        <w:r>
          <w:rPr>
            <w:b/>
            <w:color w:val="00B050"/>
            <w:u w:val="single" w:color="00B050"/>
          </w:rPr>
          <w:t>Ray Tan</w:t>
        </w:r>
      </w:hyperlink>
      <w:hyperlink r:id="rId11">
        <w:r>
          <w:t xml:space="preserve"> </w:t>
        </w:r>
      </w:hyperlink>
      <w:r w:rsidR="006F5363">
        <w:t xml:space="preserve">(Head of Department / Duty Solicitor)  </w:t>
      </w:r>
    </w:p>
    <w:p w14:paraId="15D29337" w14:textId="556D9E83" w:rsidR="0096798B" w:rsidRDefault="0096798B">
      <w:pPr>
        <w:numPr>
          <w:ilvl w:val="0"/>
          <w:numId w:val="2"/>
        </w:numPr>
        <w:ind w:left="707" w:right="362" w:hanging="360"/>
        <w:jc w:val="left"/>
      </w:pPr>
      <w:hyperlink r:id="rId12">
        <w:r>
          <w:rPr>
            <w:b/>
            <w:color w:val="00B050"/>
            <w:u w:val="single" w:color="00B050"/>
          </w:rPr>
          <w:t>William Griffiths</w:t>
        </w:r>
      </w:hyperlink>
      <w:hyperlink r:id="rId13">
        <w:r>
          <w:t xml:space="preserve"> </w:t>
        </w:r>
      </w:hyperlink>
      <w:r w:rsidR="006F5363">
        <w:t xml:space="preserve">(Salaried Partner / Duty Solicitor)  </w:t>
      </w:r>
    </w:p>
    <w:p w14:paraId="4A665443" w14:textId="29835880" w:rsidR="0096798B" w:rsidRDefault="0096798B">
      <w:pPr>
        <w:numPr>
          <w:ilvl w:val="0"/>
          <w:numId w:val="2"/>
        </w:numPr>
        <w:ind w:left="707" w:right="362" w:hanging="360"/>
        <w:jc w:val="left"/>
      </w:pPr>
      <w:hyperlink r:id="rId14">
        <w:r>
          <w:rPr>
            <w:b/>
            <w:color w:val="00B050"/>
            <w:u w:val="single" w:color="00B050"/>
          </w:rPr>
          <w:t>Richard Williams</w:t>
        </w:r>
      </w:hyperlink>
      <w:hyperlink r:id="rId15">
        <w:r>
          <w:t xml:space="preserve"> </w:t>
        </w:r>
      </w:hyperlink>
      <w:r w:rsidR="006F5363">
        <w:t xml:space="preserve">(Duty Solicitor with Higher Rights)  </w:t>
      </w:r>
    </w:p>
    <w:p w14:paraId="786237DB" w14:textId="5E94A264" w:rsidR="0096798B" w:rsidRDefault="0096798B" w:rsidP="00BE6618">
      <w:pPr>
        <w:numPr>
          <w:ilvl w:val="0"/>
          <w:numId w:val="2"/>
        </w:numPr>
        <w:ind w:left="707" w:right="362" w:hanging="360"/>
        <w:jc w:val="left"/>
      </w:pPr>
      <w:hyperlink r:id="rId16">
        <w:r>
          <w:rPr>
            <w:b/>
            <w:color w:val="00B050"/>
            <w:u w:val="single" w:color="00B050"/>
          </w:rPr>
          <w:t>Nigel Holt</w:t>
        </w:r>
      </w:hyperlink>
      <w:hyperlink r:id="rId17">
        <w:r>
          <w:t xml:space="preserve"> </w:t>
        </w:r>
      </w:hyperlink>
      <w:r w:rsidR="006F5363">
        <w:t xml:space="preserve">(Senior Paralegal)  </w:t>
      </w:r>
    </w:p>
    <w:p w14:paraId="6B05D287" w14:textId="0726AF7F" w:rsidR="0096798B" w:rsidRDefault="0096798B">
      <w:pPr>
        <w:numPr>
          <w:ilvl w:val="0"/>
          <w:numId w:val="2"/>
        </w:numPr>
        <w:ind w:left="707" w:right="362" w:hanging="360"/>
        <w:jc w:val="left"/>
      </w:pPr>
      <w:hyperlink r:id="rId18">
        <w:r w:rsidRPr="00BE6618">
          <w:rPr>
            <w:b/>
            <w:bCs/>
            <w:color w:val="00B050"/>
            <w:u w:val="single"/>
          </w:rPr>
          <w:t>Bob Scot</w:t>
        </w:r>
      </w:hyperlink>
      <w:r w:rsidR="00BE6618" w:rsidRPr="00BE6618">
        <w:rPr>
          <w:b/>
          <w:bCs/>
          <w:color w:val="00B050"/>
          <w:u w:val="single"/>
        </w:rPr>
        <w:t>t</w:t>
      </w:r>
      <w:hyperlink r:id="rId19">
        <w:r>
          <w:rPr>
            <w:b/>
            <w:color w:val="00B050"/>
          </w:rPr>
          <w:t xml:space="preserve"> </w:t>
        </w:r>
      </w:hyperlink>
      <w:r w:rsidR="006F5363">
        <w:t xml:space="preserve">(Solicitor with Higher Rights)  </w:t>
      </w:r>
    </w:p>
    <w:p w14:paraId="596A7C8D" w14:textId="6A0D321D" w:rsidR="0096798B" w:rsidRDefault="0096798B" w:rsidP="005919A1">
      <w:pPr>
        <w:ind w:right="362"/>
        <w:jc w:val="left"/>
      </w:pPr>
    </w:p>
    <w:p w14:paraId="653922A2" w14:textId="77777777" w:rsidR="0096798B" w:rsidRDefault="006F5363">
      <w:pPr>
        <w:spacing w:after="0" w:line="259" w:lineRule="auto"/>
        <w:ind w:left="1" w:firstLine="0"/>
        <w:jc w:val="left"/>
      </w:pPr>
      <w:r>
        <w:lastRenderedPageBreak/>
        <w:t xml:space="preserve"> </w:t>
      </w:r>
    </w:p>
    <w:p w14:paraId="5BF292E4" w14:textId="08D5124C" w:rsidR="0096798B" w:rsidRDefault="006F5363">
      <w:r>
        <w:t xml:space="preserve">Please click on the fee earner to find out more about their level of experience and click here to see their </w:t>
      </w:r>
      <w:hyperlink r:id="rId20" w:history="1">
        <w:r w:rsidR="0096798B" w:rsidRPr="00BE6618">
          <w:rPr>
            <w:rStyle w:val="Hyperlink"/>
            <w:b/>
            <w:color w:val="00B050"/>
          </w:rPr>
          <w:t>hourly rates</w:t>
        </w:r>
      </w:hyperlink>
      <w:hyperlink r:id="rId21">
        <w:r w:rsidR="0096798B">
          <w:t>.</w:t>
        </w:r>
      </w:hyperlink>
      <w:r>
        <w:t xml:space="preserve">  </w:t>
      </w:r>
    </w:p>
    <w:p w14:paraId="03FA2034" w14:textId="77777777" w:rsidR="0096798B" w:rsidRDefault="006F5363">
      <w:pPr>
        <w:spacing w:after="0" w:line="259" w:lineRule="auto"/>
        <w:ind w:left="1" w:firstLine="0"/>
        <w:jc w:val="left"/>
      </w:pPr>
      <w:r>
        <w:t xml:space="preserve"> </w:t>
      </w:r>
    </w:p>
    <w:p w14:paraId="2DB22988" w14:textId="77777777" w:rsidR="0096798B" w:rsidRDefault="006F5363">
      <w:r>
        <w:t xml:space="preserve">The crime team are supervised by Ray Tan as the Head of Department, and he is overall supervised by William Griffiths (Salaried Partner) and Richard Griffiths (Senior Partner). </w:t>
      </w:r>
    </w:p>
    <w:sectPr w:rsidR="0096798B">
      <w:pgSz w:w="11906" w:h="16838"/>
      <w:pgMar w:top="1483" w:right="1434" w:bottom="1516" w:left="143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722A8"/>
    <w:multiLevelType w:val="hybridMultilevel"/>
    <w:tmpl w:val="65BE9DA2"/>
    <w:lvl w:ilvl="0" w:tplc="E7DC7130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20CBA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87A43E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68630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B62EC5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DA581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94F83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8847F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76804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187205"/>
    <w:multiLevelType w:val="hybridMultilevel"/>
    <w:tmpl w:val="E07A2C2A"/>
    <w:lvl w:ilvl="0" w:tplc="C85CEBE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6631F"/>
    <w:multiLevelType w:val="hybridMultilevel"/>
    <w:tmpl w:val="86BC485E"/>
    <w:lvl w:ilvl="0" w:tplc="AC6669F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D00D732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689C78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474F356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2A066C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E41194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7928CD4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C102386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DC648C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77752347">
    <w:abstractNumId w:val="2"/>
  </w:num>
  <w:num w:numId="2" w16cid:durableId="542795365">
    <w:abstractNumId w:val="0"/>
  </w:num>
  <w:num w:numId="3" w16cid:durableId="1406030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98B"/>
    <w:rsid w:val="002111AC"/>
    <w:rsid w:val="004F40FD"/>
    <w:rsid w:val="005919A1"/>
    <w:rsid w:val="006C0A40"/>
    <w:rsid w:val="006F5363"/>
    <w:rsid w:val="00753164"/>
    <w:rsid w:val="00785CC4"/>
    <w:rsid w:val="0096798B"/>
    <w:rsid w:val="009E5270"/>
    <w:rsid w:val="00A2379F"/>
    <w:rsid w:val="00A3121F"/>
    <w:rsid w:val="00B21B97"/>
    <w:rsid w:val="00BB20EF"/>
    <w:rsid w:val="00BC6BBD"/>
    <w:rsid w:val="00BE6618"/>
    <w:rsid w:val="00C613F8"/>
    <w:rsid w:val="00C62FBF"/>
    <w:rsid w:val="00E5271C"/>
    <w:rsid w:val="00E561C1"/>
    <w:rsid w:val="00F9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54456C"/>
  <w15:docId w15:val="{516136B2-8A36-4728-97E2-AEDC47527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21F"/>
    <w:pPr>
      <w:spacing w:after="5" w:line="249" w:lineRule="auto"/>
      <w:ind w:left="11" w:hanging="10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661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661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561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g-law.co.uk/our-people/richard-griffiths/" TargetMode="External"/><Relationship Id="rId13" Type="http://schemas.openxmlformats.org/officeDocument/2006/relationships/hyperlink" Target="https://www.rg-law.co.uk/our-people/william-griffiths/" TargetMode="External"/><Relationship Id="rId18" Type="http://schemas.openxmlformats.org/officeDocument/2006/relationships/hyperlink" Target="https://www.rg-law.co.uk/our-people/bob-scott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rg-law.co.uk/wp-content/uploads/2023/12/Hourly-Rates-May-2023.pdf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rg-law.co.uk/our-people/william-griffiths/" TargetMode="External"/><Relationship Id="rId17" Type="http://schemas.openxmlformats.org/officeDocument/2006/relationships/hyperlink" Target="https://www.rg-law.co.uk/our-people/nigel-holt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rg-law.co.uk/our-people/nigel-holt/" TargetMode="External"/><Relationship Id="rId20" Type="http://schemas.openxmlformats.org/officeDocument/2006/relationships/hyperlink" Target="https://www.rg-law.co.uk/wp-content/uploads/2025/08/Hourly-Rates-as-of-Sept-2025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g-law.co.uk/our-people/raymond-tan/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rg-law.co.uk/our-people/richard-williams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rg-law.co.uk/our-people/raymond-tan/" TargetMode="External"/><Relationship Id="rId19" Type="http://schemas.openxmlformats.org/officeDocument/2006/relationships/hyperlink" Target="https://www.rg-law.co.uk/our-people/bob-scott/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rg-law.co.uk/our-people/richard-griffiths/" TargetMode="External"/><Relationship Id="rId14" Type="http://schemas.openxmlformats.org/officeDocument/2006/relationships/hyperlink" Target="https://www.rg-law.co.uk/our-people/richard-williams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4c524332-8da8-42d0-9b10-c49760e2c672">
      <Terms xmlns="http://schemas.microsoft.com/office/infopath/2007/PartnerControls"/>
    </lcf76f155ced4ddcb4097134ff3c332f>
    <_ip_UnifiedCompliancePolicyProperties xmlns="http://schemas.microsoft.com/sharepoint/v3" xsi:nil="true"/>
    <TaxCatchAll xmlns="aae6265a-cec0-4ea4-82be-379e15c5e3b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F0F20A462F64793E07C9771939485" ma:contentTypeVersion="19" ma:contentTypeDescription="Create a new document." ma:contentTypeScope="" ma:versionID="fa7e268f36ba24fa58b37e9b0751af52">
  <xsd:schema xmlns:xsd="http://www.w3.org/2001/XMLSchema" xmlns:xs="http://www.w3.org/2001/XMLSchema" xmlns:p="http://schemas.microsoft.com/office/2006/metadata/properties" xmlns:ns1="http://schemas.microsoft.com/sharepoint/v3" xmlns:ns2="4c524332-8da8-42d0-9b10-c49760e2c672" xmlns:ns3="aae6265a-cec0-4ea4-82be-379e15c5e3b2" targetNamespace="http://schemas.microsoft.com/office/2006/metadata/properties" ma:root="true" ma:fieldsID="0c36c81e352ec3175b4e1c246dd1f8cb" ns1:_="" ns2:_="" ns3:_="">
    <xsd:import namespace="http://schemas.microsoft.com/sharepoint/v3"/>
    <xsd:import namespace="4c524332-8da8-42d0-9b10-c49760e2c672"/>
    <xsd:import namespace="aae6265a-cec0-4ea4-82be-379e15c5e3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524332-8da8-42d0-9b10-c49760e2c6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6ba8b09-7003-43ec-89a8-f0026b3c7e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e6265a-cec0-4ea4-82be-379e15c5e3b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10367170-8a4e-49ed-aa30-60eba58d3961}" ma:internalName="TaxCatchAll" ma:showField="CatchAllData" ma:web="aae6265a-cec0-4ea4-82be-379e15c5e3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85CEB3-7183-4502-B5FA-A21A5C7D78B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c524332-8da8-42d0-9b10-c49760e2c672"/>
    <ds:schemaRef ds:uri="aae6265a-cec0-4ea4-82be-379e15c5e3b2"/>
  </ds:schemaRefs>
</ds:datastoreItem>
</file>

<file path=customXml/itemProps2.xml><?xml version="1.0" encoding="utf-8"?>
<ds:datastoreItem xmlns:ds="http://schemas.openxmlformats.org/officeDocument/2006/customXml" ds:itemID="{DB5A5A2C-2E86-4247-B52D-95FC44301E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c524332-8da8-42d0-9b10-c49760e2c672"/>
    <ds:schemaRef ds:uri="aae6265a-cec0-4ea4-82be-379e15c5e3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7CEDB7-7A55-4EB6-B9EB-E65B42412EF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8725972-29c6-465a-b4bd-ecc91c4f7d90}" enabled="1" method="Standard" siteId="{ea802389-256c-4c02-a009-305498e0da0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1207</Words>
  <Characters>6328</Characters>
  <Application>Microsoft Office Word</Application>
  <DocSecurity>0</DocSecurity>
  <Lines>150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Hall</dc:creator>
  <cp:keywords/>
  <cp:lastModifiedBy>Emma Tanner</cp:lastModifiedBy>
  <cp:revision>13</cp:revision>
  <cp:lastPrinted>2025-09-03T14:52:00Z</cp:lastPrinted>
  <dcterms:created xsi:type="dcterms:W3CDTF">2025-09-03T15:20:00Z</dcterms:created>
  <dcterms:modified xsi:type="dcterms:W3CDTF">2025-10-07T13:30:00Z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0x01010051EF0F20A462F64793E07C9771939485</vt:lpwstr>
  </property>
  <property fmtid="{D5CDD505-2E9C-101B-9397-08002B2CF9AE}" pid="3" name="MediaServiceImageTags">
    <vt:lpwstr/>
  </property>
</Properties>
</file>